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B3" w:rsidRDefault="00256771" w:rsidP="003F0BCF">
      <w:pPr>
        <w:spacing w:after="0" w:line="360" w:lineRule="auto"/>
        <w:jc w:val="center"/>
        <w:outlineLvl w:val="0"/>
      </w:pPr>
      <w:r>
        <w:rPr>
          <w:b/>
          <w:sz w:val="24"/>
          <w:szCs w:val="24"/>
        </w:rPr>
        <w:t>ANEXO I À CHAMADA INTERNA N.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002/2018 – PROEXT-UNIRV</w:t>
      </w:r>
    </w:p>
    <w:p w:rsidR="00AC5EB3" w:rsidRDefault="00256771">
      <w:pPr>
        <w:spacing w:after="0" w:line="360" w:lineRule="auto"/>
        <w:ind w:firstLine="851"/>
        <w:jc w:val="center"/>
      </w:pPr>
      <w:r>
        <w:rPr>
          <w:b/>
          <w:sz w:val="24"/>
          <w:szCs w:val="24"/>
        </w:rPr>
        <w:t>CONCURSO DE VÍDEOS “UNIRV EM CARTAZ”</w:t>
      </w:r>
    </w:p>
    <w:p w:rsidR="00AC5EB3" w:rsidRDefault="00AC5EB3">
      <w:pPr>
        <w:spacing w:after="0" w:line="360" w:lineRule="auto"/>
        <w:ind w:firstLine="851"/>
        <w:jc w:val="center"/>
        <w:rPr>
          <w:sz w:val="24"/>
          <w:szCs w:val="24"/>
        </w:rPr>
      </w:pPr>
    </w:p>
    <w:p w:rsidR="00AC5EB3" w:rsidRDefault="00256771">
      <w:pPr>
        <w:spacing w:after="0" w:line="360" w:lineRule="auto"/>
        <w:ind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DIRETRIZES DE EXTENSÃO UNIVERSITÁRIA</w:t>
      </w:r>
    </w:p>
    <w:p w:rsidR="00AC5EB3" w:rsidRDefault="00AC5EB3">
      <w:pPr>
        <w:spacing w:after="0" w:line="360" w:lineRule="auto"/>
        <w:ind w:firstLine="851"/>
        <w:jc w:val="center"/>
        <w:rPr>
          <w:sz w:val="24"/>
          <w:szCs w:val="24"/>
          <w:u w:val="single"/>
        </w:rPr>
      </w:pPr>
    </w:p>
    <w:p w:rsidR="00AC5EB3" w:rsidRDefault="00256771">
      <w:pPr>
        <w:spacing w:after="0" w:line="360" w:lineRule="auto"/>
        <w:ind w:firstLine="851"/>
        <w:jc w:val="both"/>
      </w:pPr>
      <w:r>
        <w:t xml:space="preserve">As diretrizes que devem orientar a formulação e implementação das ações de Extensão Universitária, conforme a Política Nacional de Extensão Universitária (FORPROEX, 2012), são as seguintes: Interação Dialógica, </w:t>
      </w:r>
      <w:proofErr w:type="spellStart"/>
      <w:r>
        <w:t>Interdisciplinariedade</w:t>
      </w:r>
      <w:proofErr w:type="spellEnd"/>
      <w:r>
        <w:t xml:space="preserve"> e interprofissionalidade, Indissociabilidade Ensino-Pesquisa-Extensão, Impacto na Formação do Estudante e, finalmente, Impacto e Transformação Social. </w:t>
      </w:r>
    </w:p>
    <w:p w:rsidR="00AC5EB3" w:rsidRDefault="00AC5EB3">
      <w:pPr>
        <w:spacing w:after="0" w:line="360" w:lineRule="auto"/>
        <w:ind w:firstLine="851"/>
        <w:jc w:val="both"/>
      </w:pPr>
      <w:bookmarkStart w:id="0" w:name="_GoBack"/>
      <w:bookmarkEnd w:id="0"/>
    </w:p>
    <w:p w:rsidR="00AC5EB3" w:rsidRDefault="00256771">
      <w:pPr>
        <w:spacing w:after="0" w:line="360" w:lineRule="auto"/>
        <w:ind w:firstLine="851"/>
        <w:jc w:val="both"/>
      </w:pPr>
      <w:r>
        <w:rPr>
          <w:b/>
        </w:rPr>
        <w:t>Interação Dialógica</w:t>
      </w:r>
      <w:r>
        <w:t xml:space="preserve">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A diretriz Interação Dialógica orienta o desenvolvimento de relações entre Universidade e setores sociais marcadas pelo diálogo e troca de saberes, superando-se, assim, o discurso da hegemonia acadêmica e substituindo-o pela ideia de aliança com movimentos, setores e organizações sociais. Não se trata mais de “estender à sociedade o conhecimento acumulado pela Universidade”, mas de produzir, em interação com a sociedade, um conhecimento novo. Um conhecimento que contribua para a superação da desigualdade e da exclusão social e para a construção de uma sociedade mais justa, ética e democrática.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Esse objetivo pressupõe uma ação de mão dupla: da Universidade para a sociedade e da sociedade para a Universidade. Isto porque os atores sociais que participam da ação, sejam pessoas inseridas nas comunidades com as quais a ação de Extensão é desenvolvida, sejam agentes públicos (estatais e não-estatais) envolvidos na formulação e implementação de políticas públicas com as quais essa ação se articula, também contribuem com a produção do conhecimento. Eles também oferecem à Universidade os saberes construídos em sua prática cotidiana, em seu fazer profissional ou vivência comunitária.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Para que a interação dialógica contribua nas direções indicadas é necessária a aplicação de metodologias que estimulem a participação e a democratização do conhecimento, colocando em relevo a contribuição de atores não-universitários em sua produção e difusão. São necessárias também a apropriação e a democratização da autoria dos atores sociais, assim como sua participação efetiva em ações desenvolvidas nos espaços da própria Universidade Pública. Por se situar no campo das relações, pode-se dizer que a diretriz Interação Dialógica atinge o cerne da dimensão ética dos processos de Extensão Universitária. </w:t>
      </w:r>
    </w:p>
    <w:p w:rsidR="00AC5EB3" w:rsidRDefault="00AC5EB3">
      <w:pPr>
        <w:spacing w:after="0" w:line="360" w:lineRule="auto"/>
        <w:ind w:firstLine="851"/>
        <w:jc w:val="both"/>
      </w:pPr>
    </w:p>
    <w:p w:rsidR="00AC5EB3" w:rsidRDefault="00256771">
      <w:pPr>
        <w:spacing w:after="0" w:line="360" w:lineRule="auto"/>
        <w:ind w:firstLine="851"/>
        <w:jc w:val="both"/>
      </w:pPr>
      <w:r>
        <w:rPr>
          <w:b/>
        </w:rPr>
        <w:t>Interdisciplinaridade e Interprofissionalidade</w:t>
      </w:r>
      <w:r>
        <w:t xml:space="preserve">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É um truísmo dizer que a realidade social é complexa, mas talvez não o seja argumentar que qualquer intervenção ou ação destinada a alterá-la deve levar em conta essa complexidade sob pena de se tornar estéril ou ineficiente. Por muitas décadas, as tecnologias de intervenção social têm oscilado entre visões </w:t>
      </w:r>
      <w:proofErr w:type="spellStart"/>
      <w:r>
        <w:t>holistas</w:t>
      </w:r>
      <w:proofErr w:type="spellEnd"/>
      <w:r>
        <w:t xml:space="preserve">, destinadas a apreender a complexidade do todo, mas condenadas a ser generalistas, e visões especializadas, destinadas a tratar especificidades, mas caracterizadas pelo parcelamento do todo. </w:t>
      </w:r>
    </w:p>
    <w:p w:rsidR="00AC5EB3" w:rsidRDefault="00256771">
      <w:pPr>
        <w:spacing w:after="0" w:line="360" w:lineRule="auto"/>
        <w:ind w:firstLine="851"/>
        <w:jc w:val="both"/>
      </w:pPr>
      <w:r>
        <w:t>A diretriz de Interdisciplinaridade e Interprofissionalidade para as ações extensionistas busca superar essa dicotomia, combinando especialização e consideração da complexidade inerente às comunidades, setores e grupos sociais, com os quais se desenvolvem as ações de Extensão, ou aos próprios objetivos e objetos dessas ações. O suposto dessa diretriz é que a combinação de especialização e visão holista pode ser materializada pela interação de modelos, conceitos e metodologias oriundos de várias disciplinas e áreas do conhecimento, assim como pela construção de alianças intersetoriais, interorganizacionais e interprofissionais. Dessa maneira, espera-se imprimir às ações de Extensão Universitária a consistência teórica e operacional de que sua efetividade depende.</w:t>
      </w:r>
    </w:p>
    <w:p w:rsidR="00AC5EB3" w:rsidRDefault="00AC5EB3">
      <w:pPr>
        <w:spacing w:after="0" w:line="360" w:lineRule="auto"/>
        <w:ind w:firstLine="851"/>
        <w:jc w:val="both"/>
      </w:pPr>
    </w:p>
    <w:p w:rsidR="00AC5EB3" w:rsidRDefault="00256771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 Indissociabilidade Ensino – Pesquisa – Extensão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A diretriz Indissociabilidade Ensino – Pesquisa – Extensão reafirma a Extensão Universitária como processo acadêmico. Nessa perspectiva, o suposto é que as ações de extensão adquirem maior efetividade se estiverem vinculadas ao processo de formação de pessoas (Ensino) e de geração de conhecimento (Pesquisa). </w:t>
      </w:r>
    </w:p>
    <w:p w:rsidR="00AC5EB3" w:rsidRDefault="00256771">
      <w:pPr>
        <w:spacing w:after="0" w:line="360" w:lineRule="auto"/>
        <w:ind w:firstLine="851"/>
        <w:jc w:val="both"/>
      </w:pPr>
      <w:r>
        <w:t>No que se refere à relação Extensão e Ensino, a diretriz de indissociabilidade coloca o estudante como protagonista de sua formação técnica – processo de obtenção de competências necessárias à atuação profissional – e de sua formação cidadã – processo que lhe permite reconhecer-se como agente de garantia de direitos e deveres e de transformação social.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Essa visão do estudante como protagonista de sua formação técnica e cidadã deve ser estendida, na ação de Extensão Universitária, a todos envolvidos; por exemplo, alunos, professores, técnicos-administrativos, pessoas das comunidades, estudantes de outras Universidades e do ensino médio. Dessa maneira, emerge um novo conceito de ‘sala de aula’, que não mais se limita ao espaço físico tradicional de ensino-aprendizagem. ‘Sala de aula’ são todos os espaços, dentro e fora da Universidade, em que se apreende e se (re) constrói o processo histórico-social em suas múltiplas determinações e facetas. O eixo pedagógico clássico ‘estudante – professor’ é substituído pelo eixo ‘estudante – professor – comunidade’. O estudante, assim como a comunidade com a qual se desenvolve a ação de Extensão, deixa de ser mero receptáculo de um conhecimento validado pelo professor para se tornar participante do processo. Dessa forma, ele se torna também o tutor (aquele que apoia o crescimento possibilitado pelo conhecimento), o pedagogo (aquele que conduz, de mãos dadas, o processo de conhecimento) e o orientador (aquele que aponta a direção desse processo). Assim, no âmbito da relação entre Pesquisa e Ensino, a diretriz Indissocibialidade Ensino – Pesquisa – Extensão inaugura possibilidades importantes na trajetória acadêmica do estudante e do professor.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Na relação entre Extensão e Pesquisa, abrem-se múltiplas possibilidades de articulação entre a Universidade e a sociedade. Visando à produção de conhecimento, a Extensão Universitária sustenta-se principalmente em metodologias participativas, no formato investigação-ação (ou pesquisa-ação), que priorizam métodos de análise inovadores, a participação dos atores sociais e o diálogo. Apenas ações extensionistas com esses formatos permitem aos atores nelas envolvidos a apreensão de saberes e práticas ainda não sistematizados e a aproximação aos valores e princípios que orientam as comunidades. Para que esses atores possam contribuir para a transformação social em direção à justiça, solidariedade e democracia, é preciso que eles tenham clareza dos problemas sociais sobre os quais pretendem atuar, do sentido e dos fins dessa atuação, do ‘arsenal’ analítico, teórico e conceitual a ser utilizado, das atividades a serem desenvolvidos e, por fim, da metodologia de avaliação dos resultados (ou produtos) da ação e, sempre que possível, de seus impactos sociais. </w:t>
      </w:r>
    </w:p>
    <w:p w:rsidR="00AC5EB3" w:rsidRDefault="00256771">
      <w:pPr>
        <w:spacing w:after="0" w:line="360" w:lineRule="auto"/>
        <w:ind w:firstLine="851"/>
        <w:jc w:val="both"/>
      </w:pPr>
      <w:r>
        <w:t>Ainda no âmbito da relação Extensão – Pesquisa, esta Política propugna fortemente o desenvolvimento de dois processos na vida acadêmica. O primeiro refere-se à incorporação de estudantes de pós-graduação em ações extensionistas. Essa importante forma de produção do conhecimento – a Extensão Universitária – pode e deve ser incorporada aos programas de mestrado, doutorado ou especialização, o que pode levar à qualificação tanto das ações extensionistas quanto da própria pós-graduação. O segundo desenvolvimento que aqui se defende é a produção acadêmica a partir das atividades de Extensão, seja no formato de teses, dissertações, livros ou capítulos de livros, artigos em periódicos e cartilhas, seja no formato de apresentações em eventos, filmes ou outros produtos artísticos e culturais.</w:t>
      </w:r>
    </w:p>
    <w:p w:rsidR="00AC5EB3" w:rsidRDefault="00AC5EB3">
      <w:pPr>
        <w:spacing w:after="0" w:line="360" w:lineRule="auto"/>
        <w:ind w:firstLine="851"/>
        <w:jc w:val="both"/>
        <w:rPr>
          <w:b/>
        </w:rPr>
      </w:pPr>
    </w:p>
    <w:p w:rsidR="00AC5EB3" w:rsidRDefault="00256771">
      <w:pPr>
        <w:spacing w:after="0" w:line="360" w:lineRule="auto"/>
        <w:ind w:firstLine="851"/>
        <w:jc w:val="both"/>
      </w:pPr>
      <w:r>
        <w:rPr>
          <w:b/>
        </w:rPr>
        <w:t>Impacto na Formação do Estudante</w:t>
      </w:r>
      <w:r>
        <w:t xml:space="preserve">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As atividades de Extensão Universitária constituem aportes decisivos à formação do estudante, seja pela ampliação do universo de referência que ensejam, seja pelo contato direto com as grandes questões contemporâneas que possibilitam. Esses resultados permitem o enriquecimento da experiência discente em termos teóricos e metodológicos, ao mesmo tempo em que abrem espaços para reafirmação e materialização dos compromissos éticos e solidários da Universidade Pública brasileira. </w:t>
      </w:r>
    </w:p>
    <w:p w:rsidR="00AC5EB3" w:rsidRDefault="00256771">
      <w:pPr>
        <w:spacing w:after="0" w:line="360" w:lineRule="auto"/>
        <w:ind w:firstLine="851"/>
        <w:jc w:val="both"/>
      </w:pPr>
      <w:r>
        <w:t>Como preconizado na Constituição de 1988 e regulamentado pela PNE 2001-2010, a participação do estudante nas ações de Extensão Universitária deve estar sustentada em iniciativas que viabilizem a flexibilização curricular e a integralização de créditos logrados nas ações de Extensão Universitária.</w:t>
      </w:r>
    </w:p>
    <w:p w:rsidR="00AC5EB3" w:rsidRDefault="00256771">
      <w:pPr>
        <w:spacing w:after="0" w:line="360" w:lineRule="auto"/>
        <w:ind w:firstLine="851"/>
        <w:jc w:val="both"/>
      </w:pPr>
      <w:r>
        <w:t>Para que esses instrumentos imprimam qualidade à formação do estudante, as ações extensionistas devem possuir um projeto pedagógico que explicite três elementos essenciais: (i) a designação do professor orientador; (</w:t>
      </w:r>
      <w:proofErr w:type="spellStart"/>
      <w:r>
        <w:t>ii</w:t>
      </w:r>
      <w:proofErr w:type="spellEnd"/>
      <w:r>
        <w:t>) os objetivos da ação e as competências dos atores nela envolvidos; (</w:t>
      </w:r>
      <w:proofErr w:type="spellStart"/>
      <w:r>
        <w:t>iii</w:t>
      </w:r>
      <w:proofErr w:type="spellEnd"/>
      <w:r>
        <w:t>) a metodologia de avaliação da participação do estudante. A qualificação da formação do estudante, por meio de seu envolvimento em atividades extensionistas, depende também, no âmbito interno das Universidades, de um diálogo franco e permanente dos órgãos destinados ao fomento das ações extensionistas com os colegiados de gestão acadêmica da graduação e da pós-graduação, de forma a possibilitar a aplicação efetiva das diretrizes de Extensão Universitária e da legislação vigente. Essa estruturação normativa e legal deve orientar o estabelecimento de regras relacionadas a campo de estágio, composição de grade curricular, correlação entre carga horária e créditos atribuídos ou previsão de cronogramas de disciplinas e regras disciplinares. Desnecessário dizer que a incorporação da estrutura legal e normativa da Extensão Universitária na formulação dessas regras deve levar em conta as especificidades de cada localidade e Universidade.</w:t>
      </w: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256771">
      <w:pPr>
        <w:tabs>
          <w:tab w:val="center" w:pos="4677"/>
        </w:tabs>
        <w:spacing w:after="0" w:line="360" w:lineRule="auto"/>
        <w:ind w:firstLine="851"/>
        <w:jc w:val="both"/>
      </w:pPr>
      <w:r>
        <w:rPr>
          <w:b/>
        </w:rPr>
        <w:t>Impacto e Transformação social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A diretriz Impacto e Transformação Social reafirma a Extensão Universitária como o mecanismo por meio do qual se estabelece a </w:t>
      </w:r>
      <w:proofErr w:type="spellStart"/>
      <w:r>
        <w:t>interrelação</w:t>
      </w:r>
      <w:proofErr w:type="spellEnd"/>
      <w:r>
        <w:t xml:space="preserve"> da Universidade com os outros setores da sociedade, com vistas a uma atuação transformadora, voltada para os interesses e necessidades da maioria da população e propiciadora do desenvolvimento social e regional, assim como para o aprimoramento das políticas públicas. A expectativa é de que, com essa diretriz, a Extensão Universitária contribua para o processo de (re) construção da Nação, uma comunidade de destino, ou de (re) construção da polis, a comunidade política. Nesse sentido, a diretriz Impacto e Transformação Sociais imprime à Extensão Universitária um caráter essencialmente político.</w:t>
      </w:r>
    </w:p>
    <w:p w:rsidR="00AC5EB3" w:rsidRDefault="00256771">
      <w:pPr>
        <w:spacing w:after="0" w:line="360" w:lineRule="auto"/>
        <w:ind w:firstLine="851"/>
        <w:jc w:val="both"/>
      </w:pPr>
      <w:r>
        <w:t>Com essa diretriz, espera-se configurar, nas ações extensionistas, as seguintes características: (i) privilegiamento de questões sobre as quais atuar, sem desconsideração da complexidade e diversidade da realidade social; (</w:t>
      </w:r>
      <w:proofErr w:type="spellStart"/>
      <w:r>
        <w:t>ii</w:t>
      </w:r>
      <w:proofErr w:type="spellEnd"/>
      <w:r>
        <w:t>) abrangência, de forma que a ação, ou um conjunto de ações, possa ser suficiente para oferecer contribuições relevantes para a transformação da área, setor ou comunidade sobre os quais incide; (</w:t>
      </w:r>
      <w:proofErr w:type="spellStart"/>
      <w:r>
        <w:t>iii</w:t>
      </w:r>
      <w:proofErr w:type="spellEnd"/>
      <w:r>
        <w:t xml:space="preserve">) efetividade na solução do problema. Cabe lembrar que a efetividade de qualquer tipo de intervenção social depende do grau de racionalidade que se imprime à sua formulação, sem perder de vista os valores e princípios que a sustentam, de forma a permitir sua gestão eficiente e sua avaliação, seja a de seu processo de implementação (monitoramento), seja a de seus resultados e impactos sociais. </w:t>
      </w:r>
    </w:p>
    <w:p w:rsidR="00AC5EB3" w:rsidRDefault="00256771">
      <w:pPr>
        <w:spacing w:after="0" w:line="360" w:lineRule="auto"/>
        <w:ind w:firstLine="851"/>
        <w:jc w:val="both"/>
      </w:pPr>
      <w:r>
        <w:t xml:space="preserve">É importante ter clareza de que não é apenas sobre a sociedade que se almeja produzir impacto e transformação com a Extensão Universitária. A própria Universidade Pública, enquanto parte da sociedade, também deve também sofrer impacto, ser transformada. O alcance desses objetivos – impacto e transformação da sociedade e da Universidade –, de forma a se lograr o desenvolvimento nacional no sentido que esta Política propugna, é potencializado nas ações que se orientam pelas diretrizes de Interação Dialógica, Interdisciplinaridade e Interprofissionalidade e, por fim, Indissociabilidade Ensino Pesquisa-Extensão. Com esse escopo, as ações de Extensão Universitária surgem como instrumentos capazes de </w:t>
      </w:r>
      <w:proofErr w:type="spellStart"/>
      <w:r>
        <w:t>contra-arrestar</w:t>
      </w:r>
      <w:proofErr w:type="spellEnd"/>
      <w:r>
        <w:t xml:space="preserve"> as consequências perversas do neoliberalismo, em especial, a mercantilização das atividades universitárias, a alienação cultural e todas as mazelas que as acompanham.</w:t>
      </w: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BB2E89" w:rsidRDefault="00BB2E89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both"/>
        <w:rPr>
          <w:sz w:val="24"/>
          <w:szCs w:val="24"/>
          <w:u w:val="single"/>
        </w:rPr>
      </w:pPr>
    </w:p>
    <w:p w:rsidR="00AC5EB3" w:rsidRDefault="00256771">
      <w:pPr>
        <w:spacing w:after="0" w:line="360" w:lineRule="auto"/>
        <w:ind w:firstLine="851"/>
        <w:jc w:val="center"/>
        <w:outlineLvl w:val="0"/>
      </w:pPr>
      <w:r>
        <w:rPr>
          <w:b/>
          <w:sz w:val="24"/>
          <w:szCs w:val="24"/>
        </w:rPr>
        <w:t>ANEXO II À CHAMADA INTERNA N.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002/2018 – PROEXT-UNIRV</w:t>
      </w:r>
    </w:p>
    <w:p w:rsidR="00AC5EB3" w:rsidRDefault="00256771">
      <w:pPr>
        <w:spacing w:after="0" w:line="360" w:lineRule="auto"/>
        <w:ind w:firstLine="851"/>
        <w:jc w:val="center"/>
      </w:pPr>
      <w:r>
        <w:rPr>
          <w:b/>
          <w:sz w:val="24"/>
          <w:szCs w:val="24"/>
        </w:rPr>
        <w:t>CONCURSO DE VÍDEOS “UNIRV EM CARTAZ”</w:t>
      </w:r>
    </w:p>
    <w:p w:rsidR="00AC5EB3" w:rsidRDefault="00AC5EB3">
      <w:pPr>
        <w:spacing w:after="0" w:line="360" w:lineRule="auto"/>
        <w:ind w:firstLine="851"/>
        <w:jc w:val="center"/>
        <w:rPr>
          <w:sz w:val="24"/>
          <w:szCs w:val="24"/>
        </w:rPr>
      </w:pPr>
    </w:p>
    <w:p w:rsidR="00AC5EB3" w:rsidRDefault="00256771">
      <w:pPr>
        <w:spacing w:after="0" w:line="360" w:lineRule="auto"/>
        <w:ind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ÁREAS TEMÁTICAS</w:t>
      </w:r>
    </w:p>
    <w:p w:rsidR="00AC5EB3" w:rsidRDefault="00AC5EB3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cumprir sua missão fundamental de estabelecer relações sociais e culturais com a sociedade, optou-se por sistematizar o trabalho de extensão das Instituições de Ensino Superior de acordo com as seguintes áreas temáticas: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1.Comunicação</w:t>
      </w:r>
      <w:r>
        <w:rPr>
          <w:rFonts w:asciiTheme="minorHAnsi" w:hAnsiTheme="minorHAnsi" w:cstheme="minorHAnsi"/>
          <w:sz w:val="22"/>
          <w:szCs w:val="22"/>
        </w:rPr>
        <w:t>: comunicação social; mídia comunitária; comunicação escrita e eletrônica; produção e difusão de material educativo; televisão universitária e rádio universitária.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2.Cultura</w:t>
      </w:r>
      <w:r>
        <w:rPr>
          <w:rFonts w:asciiTheme="minorHAnsi" w:hAnsiTheme="minorHAnsi" w:cstheme="minorHAnsi"/>
          <w:sz w:val="22"/>
          <w:szCs w:val="22"/>
        </w:rPr>
        <w:t>: desenvolvimento cultural; cultura, memória e patrimônio; cultura e memória social; cultura e sociedade; folclore, artesanato e tradições culturais; produção cultural e artística na área de artes plásticas e artes gráficas; produção cultural e artística na área de fotografia, cinema e vídeo; produção cultural e artística na área de música e dança, produção teatral e circense.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3.Direitos Humanos e Justiça</w:t>
      </w:r>
      <w:r>
        <w:rPr>
          <w:rFonts w:asciiTheme="minorHAnsi" w:hAnsiTheme="minorHAnsi" w:cstheme="minorHAnsi"/>
          <w:sz w:val="22"/>
          <w:szCs w:val="22"/>
        </w:rPr>
        <w:t>: assistência jurídica; direitos de grupos sociais; organizações populares e questões agrárias.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4.Educação</w:t>
      </w:r>
      <w:r>
        <w:rPr>
          <w:rFonts w:asciiTheme="minorHAnsi" w:hAnsiTheme="minorHAnsi" w:cstheme="minorHAnsi"/>
          <w:sz w:val="22"/>
          <w:szCs w:val="22"/>
        </w:rPr>
        <w:t>: educação básica; educação e cidadania; educação à distância; educação continuada; educação de jovens e adultos; educação para a melhor idade; educação especial; educação infantil; ensino fundamental; ensino médio; incentivo à leitura.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5.Meio Ambiente</w:t>
      </w:r>
      <w:r>
        <w:rPr>
          <w:rFonts w:asciiTheme="minorHAnsi" w:hAnsiTheme="minorHAnsi" w:cstheme="minorHAnsi"/>
          <w:sz w:val="22"/>
          <w:szCs w:val="22"/>
        </w:rPr>
        <w:t>: preservação e sustentabilidade do meio ambiente; meio ambiente e desenvolvimento sustentável; desenvolvimento regional sustentável; aspectos de meio ambiente e sustentabilidade do desenvolvimento urbano e do desenvolvimento rural; educação ambiental; gestão de recursos naturais e sistemas integrados para bacias regionais.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6.Saúde</w:t>
      </w:r>
      <w:r>
        <w:rPr>
          <w:rFonts w:asciiTheme="minorHAnsi" w:hAnsiTheme="minorHAnsi" w:cstheme="minorHAnsi"/>
          <w:sz w:val="22"/>
          <w:szCs w:val="22"/>
        </w:rPr>
        <w:t>: promoção à saúde e qualidade de vida; atenção a grupos de pessoas com necessidades especiais; atenção integral à mulher; atenção integral à criança; atenção integral à saúde de adultos; atenção integral à terceira idade; atenção integral ao adolescente e ao jovem; capacitação e qualificação de recursos humanos e de gestores de políticas públicas de saúde; cooperação interinstitucional e cooperação internacional na área; desenvolvimento do sistema de saúde; saúde e segurança no trabalho; esporte, lazer e saúde; hospitais e clínicas universitárias; novas endemias, pandemias e epidemias; saúde da família; uso e dependência de drogas.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7.Tecnologia e Produção</w:t>
      </w:r>
      <w:r>
        <w:rPr>
          <w:rFonts w:asciiTheme="minorHAnsi" w:hAnsiTheme="minorHAnsi" w:cstheme="minorHAnsi"/>
          <w:sz w:val="22"/>
          <w:szCs w:val="22"/>
        </w:rPr>
        <w:t>: transferência de tecnologias apropriadas; empreendedorismo; empresas juniores; inovação tecnológica; pólos tecnológicos; direitos de propriedade e patentes.</w:t>
      </w:r>
    </w:p>
    <w:p w:rsidR="00AC5EB3" w:rsidRDefault="00256771">
      <w:pPr>
        <w:pStyle w:val="NormalWeb"/>
        <w:shd w:val="clear" w:color="auto" w:fill="FFFFFF"/>
        <w:spacing w:beforeAutospacing="0" w:after="0" w:afterAutospacing="0"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8.Trabalho</w:t>
      </w:r>
      <w:r>
        <w:rPr>
          <w:rFonts w:asciiTheme="minorHAnsi" w:hAnsiTheme="minorHAnsi" w:cstheme="minorHAnsi"/>
          <w:sz w:val="22"/>
          <w:szCs w:val="22"/>
        </w:rPr>
        <w:t>: reforma agrária e trabalho rural; trabalho e inclusão social; educação profissional; organizações populares para o trabalho; cooperativas populares; questão agrária; saúde e segurança no trabalho; trabalho infantil; turismo e oportunidades de trabalho.</w:t>
      </w:r>
    </w:p>
    <w:p w:rsidR="00AC5EB3" w:rsidRDefault="00AC5EB3">
      <w:pPr>
        <w:spacing w:after="0" w:line="360" w:lineRule="auto"/>
        <w:rPr>
          <w:sz w:val="24"/>
          <w:szCs w:val="24"/>
          <w:u w:val="single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AC5EB3">
      <w:pPr>
        <w:spacing w:after="0" w:line="360" w:lineRule="auto"/>
        <w:ind w:firstLine="851"/>
        <w:jc w:val="center"/>
        <w:outlineLvl w:val="0"/>
        <w:rPr>
          <w:b/>
          <w:sz w:val="24"/>
          <w:szCs w:val="24"/>
        </w:rPr>
      </w:pPr>
    </w:p>
    <w:p w:rsidR="00AC5EB3" w:rsidRDefault="00256771">
      <w:pPr>
        <w:spacing w:after="0" w:line="360" w:lineRule="auto"/>
        <w:ind w:firstLine="851"/>
        <w:jc w:val="center"/>
        <w:outlineLvl w:val="0"/>
      </w:pPr>
      <w:r>
        <w:rPr>
          <w:b/>
          <w:sz w:val="24"/>
          <w:szCs w:val="24"/>
        </w:rPr>
        <w:t>ANEXO III À CHAMADA INTERNA N.</w:t>
      </w:r>
      <w:r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002/2018 – PROEXT-UNIRV</w:t>
      </w:r>
    </w:p>
    <w:p w:rsidR="00AC5EB3" w:rsidRDefault="00256771">
      <w:pPr>
        <w:spacing w:after="0" w:line="360" w:lineRule="auto"/>
        <w:ind w:firstLine="851"/>
        <w:jc w:val="center"/>
      </w:pPr>
      <w:r>
        <w:rPr>
          <w:b/>
          <w:sz w:val="24"/>
          <w:szCs w:val="24"/>
        </w:rPr>
        <w:t>CONCURSO DE VÍDEOS “UNIRV EM CARTAZ”</w:t>
      </w:r>
    </w:p>
    <w:p w:rsidR="00AC5EB3" w:rsidRDefault="00AC5EB3">
      <w:pPr>
        <w:spacing w:after="0" w:line="360" w:lineRule="auto"/>
        <w:ind w:firstLine="851"/>
        <w:jc w:val="center"/>
        <w:rPr>
          <w:sz w:val="24"/>
          <w:szCs w:val="24"/>
        </w:rPr>
      </w:pPr>
    </w:p>
    <w:p w:rsidR="00AC5EB3" w:rsidRDefault="00256771">
      <w:pPr>
        <w:spacing w:after="0" w:line="360" w:lineRule="auto"/>
        <w:ind w:firstLine="85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CESSÃO DE DIREITOS AUTORIAS E DE IMAGEM</w:t>
      </w:r>
    </w:p>
    <w:p w:rsidR="00AC5EB3" w:rsidRDefault="00256771">
      <w:pPr>
        <w:tabs>
          <w:tab w:val="left" w:pos="3711"/>
        </w:tabs>
        <w:spacing w:after="0" w:line="360" w:lineRule="auto"/>
        <w:jc w:val="both"/>
      </w:pPr>
      <w:r>
        <w:t>_____________________________________ (NOME COMPLETO), matriculado no Curso de ______________________________ da UniRV, ___ período, inscrito no CPF/MF sob o n.º __________________________, residente e domiciliado na Rua/Av. _____________________________________________ (ENDEREÇO COMPLETO), DECLARA:</w:t>
      </w:r>
    </w:p>
    <w:p w:rsidR="00AC5EB3" w:rsidRDefault="00AC5EB3">
      <w:pPr>
        <w:pStyle w:val="PargrafodaLista1"/>
        <w:spacing w:after="0" w:line="360" w:lineRule="auto"/>
        <w:ind w:left="0" w:firstLine="709"/>
        <w:jc w:val="both"/>
      </w:pPr>
    </w:p>
    <w:p w:rsidR="00AC5EB3" w:rsidRDefault="00256771">
      <w:pPr>
        <w:pStyle w:val="PargrafodaLista1"/>
        <w:spacing w:after="0" w:line="360" w:lineRule="auto"/>
        <w:ind w:left="0" w:firstLine="851"/>
        <w:jc w:val="both"/>
      </w:pPr>
      <w:r>
        <w:t>1) Ser de sua autoria o vídeo encaminhado, bem como cede e transfere para a Universidade de Rio Verde - UniRV, sem quaisquer ônus e em caráter definitivo, pleno e totalmente, todos os direitos autorais e de imagem sobre o mesmo, para qualquer tipo de utilização, publicação, reprodução por qualquer meio ou técnica, e na divulgação do resultado, quer no Brasil e/ou no exterior, isentando a UniRV, seus servidores e dirigentes de toda e qualquer responsabilidade que possa resultar do vídeo inscrito nesta Chamada.</w:t>
      </w:r>
    </w:p>
    <w:p w:rsidR="00AC5EB3" w:rsidRDefault="00256771">
      <w:pPr>
        <w:pStyle w:val="PargrafodaLista1"/>
        <w:spacing w:after="0" w:line="360" w:lineRule="auto"/>
        <w:ind w:left="0" w:firstLine="851"/>
        <w:jc w:val="both"/>
      </w:pPr>
      <w:r>
        <w:t>2) Sob pena de desclassificação, que não se utilizou, na elaboração do vídeo, conteúdo: (i) indecoroso, (</w:t>
      </w:r>
      <w:proofErr w:type="spellStart"/>
      <w:r>
        <w:t>ii</w:t>
      </w:r>
      <w:proofErr w:type="spellEnd"/>
      <w:r>
        <w:t>) preconceituoso, (</w:t>
      </w:r>
      <w:proofErr w:type="spellStart"/>
      <w:r>
        <w:t>iii</w:t>
      </w:r>
      <w:proofErr w:type="spellEnd"/>
      <w:r>
        <w:t>) desrespeitoso, (</w:t>
      </w:r>
      <w:proofErr w:type="spellStart"/>
      <w:r>
        <w:t>iv</w:t>
      </w:r>
      <w:proofErr w:type="spellEnd"/>
      <w:r>
        <w:t>) discriminatório, (v) injurioso, (vi) calunioso, (</w:t>
      </w:r>
      <w:proofErr w:type="spellStart"/>
      <w:r>
        <w:t>vii</w:t>
      </w:r>
      <w:proofErr w:type="spellEnd"/>
      <w:r>
        <w:t>) difamatório e/ou que de qualquer forma atente contra a dignidade, a imagem, a reputação, a honra, a moral, a integridade ou qualquer outro direito de qualquer pessoa ou instituição, independentemente de sua nacionalidade, etnia ou religião, (</w:t>
      </w:r>
      <w:proofErr w:type="spellStart"/>
      <w:r>
        <w:t>viii</w:t>
      </w:r>
      <w:proofErr w:type="spellEnd"/>
      <w:r>
        <w:t>) que contenha dados (mensagens, informação, imagens) subliminares, (</w:t>
      </w:r>
      <w:proofErr w:type="spellStart"/>
      <w:r>
        <w:t>ix</w:t>
      </w:r>
      <w:proofErr w:type="spellEnd"/>
      <w:r>
        <w:t xml:space="preserve">) que contenha dados ou informações que constituem ou possam constituir crime (ou contravenção penal) ou que possam ser entendidas como incitação à prática de crimes (ou contravenção penal); (x) que ofenda a liberdade de crença e as religiões, (xi) que viole qualquer lei ou ato </w:t>
      </w:r>
      <w:proofErr w:type="spellStart"/>
      <w:r>
        <w:t>infralegal</w:t>
      </w:r>
      <w:proofErr w:type="spellEnd"/>
      <w:r>
        <w:t xml:space="preserve"> ou seja inapropriada, (</w:t>
      </w:r>
      <w:proofErr w:type="spellStart"/>
      <w:r>
        <w:t>xii</w:t>
      </w:r>
      <w:proofErr w:type="spellEnd"/>
      <w:r>
        <w:t>) que atente contra a ordem pública, os bons costumes e/ou qualquer norma jurídica, (</w:t>
      </w:r>
      <w:proofErr w:type="spellStart"/>
      <w:r>
        <w:t>xiii</w:t>
      </w:r>
      <w:proofErr w:type="spellEnd"/>
      <w:r>
        <w:t>) que faça propaganda eleitoral ou divulgue opinião favorável ou contra partido ou candidato, (</w:t>
      </w:r>
      <w:proofErr w:type="spellStart"/>
      <w:r>
        <w:t>xiv</w:t>
      </w:r>
      <w:proofErr w:type="spellEnd"/>
      <w:r>
        <w:t>) que viole direitos de propriedade intelectual, em especial direitos autorais, de marca e de personalidade; (</w:t>
      </w:r>
      <w:proofErr w:type="spellStart"/>
      <w:r>
        <w:t>xv</w:t>
      </w:r>
      <w:proofErr w:type="spellEnd"/>
      <w:r>
        <w:t>) que mencione ou faça qualquer alusão a empresas e/ou patrocinadores; e (</w:t>
      </w:r>
      <w:proofErr w:type="spellStart"/>
      <w:r>
        <w:t>xvi</w:t>
      </w:r>
      <w:proofErr w:type="spellEnd"/>
      <w:r>
        <w:t>) que tenha duração inferior a 50 (cinquenta) segundos e superior a 60 (sessenta) segundos.</w:t>
      </w:r>
    </w:p>
    <w:p w:rsidR="00AC5EB3" w:rsidRDefault="00256771">
      <w:pPr>
        <w:pStyle w:val="PargrafodaLista1"/>
        <w:spacing w:after="0" w:line="360" w:lineRule="auto"/>
        <w:ind w:left="0" w:firstLine="709"/>
        <w:jc w:val="center"/>
      </w:pPr>
      <w:r>
        <w:t xml:space="preserve">Rio Verde, Goiás, ___ de ______________ </w:t>
      </w:r>
      <w:proofErr w:type="spellStart"/>
      <w:r>
        <w:t>de</w:t>
      </w:r>
      <w:proofErr w:type="spellEnd"/>
      <w:r>
        <w:t xml:space="preserve"> 2018.</w:t>
      </w:r>
    </w:p>
    <w:p w:rsidR="00AC5EB3" w:rsidRDefault="00AC5EB3">
      <w:pPr>
        <w:pStyle w:val="PargrafodaLista1"/>
        <w:spacing w:after="0" w:line="360" w:lineRule="auto"/>
        <w:ind w:left="0" w:firstLine="709"/>
        <w:jc w:val="both"/>
      </w:pPr>
    </w:p>
    <w:p w:rsidR="00AC5EB3" w:rsidRDefault="00256771">
      <w:pPr>
        <w:pStyle w:val="PargrafodaLista1"/>
        <w:spacing w:after="0" w:line="360" w:lineRule="auto"/>
        <w:ind w:left="0" w:firstLine="709"/>
        <w:jc w:val="center"/>
      </w:pPr>
      <w:r>
        <w:t>______________________________________________________</w:t>
      </w:r>
    </w:p>
    <w:p w:rsidR="00AC5EB3" w:rsidRDefault="00256771">
      <w:pPr>
        <w:pStyle w:val="PargrafodaLista1"/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t>(Assinatura com firma reconhecida)</w:t>
      </w:r>
    </w:p>
    <w:p w:rsidR="00620438" w:rsidRDefault="00620438" w:rsidP="00620438">
      <w:pPr>
        <w:spacing w:after="0" w:line="360" w:lineRule="auto"/>
        <w:ind w:firstLine="851"/>
        <w:jc w:val="center"/>
      </w:pPr>
      <w:r>
        <w:rPr>
          <w:b/>
          <w:sz w:val="24"/>
          <w:szCs w:val="24"/>
        </w:rPr>
        <w:t xml:space="preserve">ANEXO IV Á </w:t>
      </w:r>
      <w:r>
        <w:rPr>
          <w:rFonts w:cs="Times New Roman"/>
          <w:b/>
          <w:sz w:val="24"/>
          <w:szCs w:val="24"/>
        </w:rPr>
        <w:t>CHAMADA INTERNA N.</w:t>
      </w:r>
      <w:r>
        <w:rPr>
          <w:rFonts w:cs="Times New Roman"/>
          <w:b/>
          <w:sz w:val="24"/>
          <w:szCs w:val="24"/>
          <w:vertAlign w:val="superscript"/>
        </w:rPr>
        <w:t>O</w:t>
      </w:r>
      <w:r>
        <w:rPr>
          <w:rFonts w:cs="Times New Roman"/>
          <w:b/>
          <w:sz w:val="24"/>
          <w:szCs w:val="24"/>
        </w:rPr>
        <w:t xml:space="preserve"> 002/2018 - PROEXT - UNIRV</w:t>
      </w:r>
    </w:p>
    <w:p w:rsidR="00620438" w:rsidRDefault="00620438" w:rsidP="00620438">
      <w:pPr>
        <w:autoSpaceDE w:val="0"/>
        <w:jc w:val="center"/>
      </w:pPr>
      <w:r>
        <w:rPr>
          <w:rFonts w:cs="Times New Roman"/>
          <w:b/>
          <w:bCs/>
          <w:sz w:val="24"/>
          <w:szCs w:val="24"/>
        </w:rPr>
        <w:t xml:space="preserve">CONCURSO DE VÍDEOS </w:t>
      </w:r>
      <w:r>
        <w:rPr>
          <w:rFonts w:cs="Times New Roman"/>
          <w:b/>
          <w:bCs/>
          <w:sz w:val="24"/>
          <w:szCs w:val="24"/>
          <w:lang w:val="en-US"/>
        </w:rPr>
        <w:t>“UNIRV EM CARTAZ”</w:t>
      </w:r>
    </w:p>
    <w:p w:rsidR="00620438" w:rsidRDefault="00620438" w:rsidP="00620438">
      <w:pPr>
        <w:autoSpaceDE w:val="0"/>
        <w:jc w:val="center"/>
        <w:rPr>
          <w:b/>
          <w:bCs/>
          <w:szCs w:val="20"/>
        </w:rPr>
      </w:pPr>
    </w:p>
    <w:p w:rsidR="00620438" w:rsidRDefault="00620438" w:rsidP="00620438">
      <w:pPr>
        <w:autoSpaceDE w:val="0"/>
        <w:jc w:val="center"/>
      </w:pPr>
      <w:r>
        <w:rPr>
          <w:b/>
          <w:bCs/>
          <w:szCs w:val="20"/>
          <w:u w:val="single"/>
        </w:rPr>
        <w:t>FORMULÁRIO DE INSCRIÇÃO</w:t>
      </w:r>
    </w:p>
    <w:p w:rsidR="00620438" w:rsidRDefault="00620438" w:rsidP="00620438">
      <w:pPr>
        <w:autoSpaceDE w:val="0"/>
        <w:jc w:val="center"/>
        <w:rPr>
          <w:b/>
          <w:bCs/>
          <w:szCs w:val="20"/>
        </w:rPr>
      </w:pPr>
    </w:p>
    <w:p w:rsidR="00620438" w:rsidRDefault="00620438" w:rsidP="00620438">
      <w:pPr>
        <w:autoSpaceDE w:val="0"/>
        <w:rPr>
          <w:b/>
          <w:bCs/>
          <w:szCs w:val="20"/>
        </w:rPr>
      </w:pPr>
    </w:p>
    <w:p w:rsidR="00620438" w:rsidRDefault="00620438" w:rsidP="00620438">
      <w:pPr>
        <w:autoSpaceDE w:val="0"/>
        <w:spacing w:before="120" w:after="0"/>
      </w:pPr>
      <w:r>
        <w:rPr>
          <w:b/>
          <w:bCs/>
        </w:rPr>
        <w:t>1. Informações sobre o candidato:</w:t>
      </w:r>
    </w:p>
    <w:p w:rsidR="00620438" w:rsidRDefault="00620438" w:rsidP="00620438">
      <w:pPr>
        <w:autoSpaceDE w:val="0"/>
        <w:spacing w:before="120" w:after="0"/>
      </w:pPr>
      <w:r>
        <w:t>Nome: ________________________________________________________________</w:t>
      </w:r>
    </w:p>
    <w:p w:rsidR="00620438" w:rsidRDefault="00620438" w:rsidP="00620438">
      <w:pPr>
        <w:autoSpaceDE w:val="0"/>
        <w:spacing w:before="120" w:after="0"/>
      </w:pPr>
      <w:r>
        <w:t xml:space="preserve">Sexo: </w:t>
      </w:r>
      <w:proofErr w:type="gramStart"/>
      <w:r>
        <w:t xml:space="preserve">(  </w:t>
      </w:r>
      <w:proofErr w:type="gramEnd"/>
      <w:r>
        <w:t xml:space="preserve"> ) M</w:t>
      </w:r>
      <w:r>
        <w:tab/>
        <w:t>(   ) F</w:t>
      </w:r>
      <w:r>
        <w:tab/>
        <w:t>Código Administrativo: _________________________________</w:t>
      </w:r>
    </w:p>
    <w:p w:rsidR="00620438" w:rsidRDefault="00620438" w:rsidP="00620438">
      <w:pPr>
        <w:autoSpaceDE w:val="0"/>
        <w:spacing w:before="120" w:after="0"/>
      </w:pPr>
      <w:r>
        <w:t>Identidade: _______________________________</w:t>
      </w:r>
      <w:r>
        <w:tab/>
        <w:t>Órgão Expedidor: ______________</w:t>
      </w:r>
    </w:p>
    <w:p w:rsidR="00620438" w:rsidRDefault="00620438" w:rsidP="00620438">
      <w:pPr>
        <w:autoSpaceDE w:val="0"/>
        <w:spacing w:before="120" w:after="0"/>
      </w:pPr>
      <w:r>
        <w:t>CPF: ___________________________</w:t>
      </w:r>
      <w:r>
        <w:tab/>
        <w:t>E-mail: _____________________________</w:t>
      </w:r>
    </w:p>
    <w:p w:rsidR="00620438" w:rsidRDefault="00620438" w:rsidP="00620438">
      <w:pPr>
        <w:autoSpaceDE w:val="0"/>
        <w:spacing w:before="120" w:after="0"/>
      </w:pPr>
      <w:r>
        <w:t>Telefone Residencial: ____________ Celular: _____________ comercial: __________</w:t>
      </w:r>
    </w:p>
    <w:p w:rsidR="00620438" w:rsidRDefault="00620438" w:rsidP="00620438">
      <w:pPr>
        <w:autoSpaceDE w:val="0"/>
        <w:spacing w:before="120" w:after="0"/>
      </w:pPr>
      <w:r>
        <w:t>Estado Civil: ____________</w:t>
      </w:r>
      <w:r>
        <w:tab/>
        <w:t>Nome do Cônjuge: _______________________________</w:t>
      </w:r>
    </w:p>
    <w:p w:rsidR="00620438" w:rsidRDefault="00620438" w:rsidP="00620438">
      <w:pPr>
        <w:autoSpaceDE w:val="0"/>
        <w:spacing w:before="120" w:after="0"/>
      </w:pPr>
      <w:r>
        <w:t>Endereço (Rio Verde): _______________________________________</w:t>
      </w:r>
      <w:r>
        <w:tab/>
        <w:t>nº: _________</w:t>
      </w:r>
    </w:p>
    <w:p w:rsidR="00620438" w:rsidRDefault="00620438" w:rsidP="00620438">
      <w:pPr>
        <w:autoSpaceDE w:val="0"/>
        <w:spacing w:before="120" w:after="0"/>
      </w:pPr>
      <w:r>
        <w:t>Bairro: _____________________________</w:t>
      </w:r>
      <w:r>
        <w:tab/>
        <w:t>Complemento: _______________________</w:t>
      </w:r>
    </w:p>
    <w:p w:rsidR="00620438" w:rsidRDefault="00620438" w:rsidP="00620438">
      <w:pPr>
        <w:autoSpaceDE w:val="0"/>
        <w:spacing w:before="120" w:after="0"/>
      </w:pPr>
      <w:r>
        <w:t>CEP: ____________________________________</w:t>
      </w:r>
    </w:p>
    <w:p w:rsidR="00620438" w:rsidRDefault="00620438" w:rsidP="00620438">
      <w:pPr>
        <w:autoSpaceDE w:val="0"/>
        <w:spacing w:before="120" w:after="0"/>
        <w:rPr>
          <w:b/>
          <w:bCs/>
        </w:rPr>
      </w:pPr>
    </w:p>
    <w:p w:rsidR="00620438" w:rsidRDefault="00620438" w:rsidP="00620438">
      <w:pPr>
        <w:autoSpaceDE w:val="0"/>
        <w:spacing w:before="120" w:after="0"/>
      </w:pPr>
      <w:r>
        <w:rPr>
          <w:b/>
          <w:bCs/>
        </w:rPr>
        <w:t>2. Informações Curriculares:</w:t>
      </w:r>
    </w:p>
    <w:p w:rsidR="00620438" w:rsidRDefault="00620438" w:rsidP="00620438">
      <w:pPr>
        <w:autoSpaceDE w:val="0"/>
        <w:spacing w:before="120" w:after="0"/>
      </w:pPr>
      <w:r>
        <w:t>Curso: __________________________ Período: _______</w:t>
      </w:r>
      <w:r>
        <w:tab/>
        <w:t>Ano que iniciou: _________</w:t>
      </w:r>
    </w:p>
    <w:p w:rsidR="00620438" w:rsidRDefault="00620438" w:rsidP="00620438">
      <w:pPr>
        <w:autoSpaceDE w:val="0"/>
        <w:spacing w:before="120" w:after="0"/>
      </w:pPr>
      <w:r>
        <w:t>Campus: ________________________ Turno: __________</w:t>
      </w:r>
    </w:p>
    <w:p w:rsidR="00620438" w:rsidRDefault="00620438" w:rsidP="00620438">
      <w:pPr>
        <w:autoSpaceDE w:val="0"/>
        <w:spacing w:before="120" w:after="0"/>
      </w:pPr>
    </w:p>
    <w:p w:rsidR="00620438" w:rsidRDefault="00620438" w:rsidP="00620438">
      <w:pPr>
        <w:autoSpaceDE w:val="0"/>
        <w:spacing w:before="120" w:after="0"/>
      </w:pPr>
      <w:r>
        <w:rPr>
          <w:b/>
          <w:bCs/>
        </w:rPr>
        <w:t>3. Informações sobre o vídeo:</w:t>
      </w:r>
    </w:p>
    <w:p w:rsidR="00620438" w:rsidRDefault="00620438" w:rsidP="00620438">
      <w:pPr>
        <w:autoSpaceDE w:val="0"/>
        <w:spacing w:before="120" w:after="0"/>
      </w:pPr>
      <w:r>
        <w:t>Título: ________________________________________________________________</w:t>
      </w:r>
    </w:p>
    <w:p w:rsidR="00620438" w:rsidRDefault="00620438" w:rsidP="00620438">
      <w:pPr>
        <w:autoSpaceDE w:val="0"/>
        <w:spacing w:before="120" w:after="0"/>
      </w:pPr>
      <w:r>
        <w:t>Área temática (Anexo II): _________________________________________________</w:t>
      </w:r>
    </w:p>
    <w:p w:rsidR="00620438" w:rsidRDefault="00620438" w:rsidP="00620438">
      <w:pPr>
        <w:autoSpaceDE w:val="0"/>
        <w:spacing w:before="120" w:after="0"/>
      </w:pPr>
      <w:r>
        <w:t xml:space="preserve">Forma de entrega: </w:t>
      </w:r>
      <w:proofErr w:type="gramStart"/>
      <w:r>
        <w:t xml:space="preserve">(  </w:t>
      </w:r>
      <w:proofErr w:type="gramEnd"/>
      <w:r>
        <w:t xml:space="preserve"> ) pen drive   (    ) e-mail (</w:t>
      </w:r>
      <w:hyperlink r:id="rId8" w:history="1">
        <w:r>
          <w:rPr>
            <w:rStyle w:val="Hyperlink"/>
            <w:sz w:val="24"/>
            <w:szCs w:val="24"/>
          </w:rPr>
          <w:t>proext@unirv.edu.br</w:t>
        </w:r>
      </w:hyperlink>
      <w:r>
        <w:rPr>
          <w:rFonts w:cs="Times New Roman"/>
          <w:sz w:val="24"/>
          <w:szCs w:val="24"/>
        </w:rPr>
        <w:t>)</w:t>
      </w:r>
    </w:p>
    <w:p w:rsidR="00620438" w:rsidRDefault="00620438" w:rsidP="00620438">
      <w:pPr>
        <w:autoSpaceDE w:val="0"/>
        <w:spacing w:before="120" w:after="0"/>
      </w:pPr>
    </w:p>
    <w:p w:rsidR="00620438" w:rsidRDefault="00620438" w:rsidP="00620438">
      <w:pPr>
        <w:autoSpaceDE w:val="0"/>
        <w:spacing w:before="120" w:after="0"/>
      </w:pPr>
    </w:p>
    <w:p w:rsidR="00620438" w:rsidRDefault="00620438" w:rsidP="00620438">
      <w:pPr>
        <w:autoSpaceDE w:val="0"/>
        <w:spacing w:before="120" w:after="0"/>
      </w:pPr>
    </w:p>
    <w:p w:rsidR="00620438" w:rsidRDefault="00620438" w:rsidP="00620438">
      <w:pPr>
        <w:autoSpaceDE w:val="0"/>
        <w:spacing w:before="120" w:after="0"/>
        <w:jc w:val="center"/>
      </w:pPr>
      <w:r>
        <w:t>________________________________________</w:t>
      </w:r>
    </w:p>
    <w:p w:rsidR="00620438" w:rsidRDefault="00620438">
      <w:pPr>
        <w:pStyle w:val="PargrafodaLista1"/>
        <w:spacing w:after="0" w:line="360" w:lineRule="auto"/>
        <w:ind w:left="0" w:firstLine="709"/>
        <w:jc w:val="center"/>
      </w:pPr>
    </w:p>
    <w:sectPr w:rsidR="00620438">
      <w:headerReference w:type="default" r:id="rId9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9B" w:rsidRDefault="00256771">
      <w:pPr>
        <w:spacing w:after="0" w:line="240" w:lineRule="auto"/>
      </w:pPr>
      <w:r>
        <w:separator/>
      </w:r>
    </w:p>
  </w:endnote>
  <w:endnote w:type="continuationSeparator" w:id="0">
    <w:p w:rsidR="00EF7D9B" w:rsidRDefault="0025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9B" w:rsidRDefault="00256771">
      <w:pPr>
        <w:spacing w:after="0" w:line="240" w:lineRule="auto"/>
      </w:pPr>
      <w:r>
        <w:separator/>
      </w:r>
    </w:p>
  </w:footnote>
  <w:footnote w:type="continuationSeparator" w:id="0">
    <w:p w:rsidR="00EF7D9B" w:rsidRDefault="0025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B3" w:rsidRDefault="00256771">
    <w:pPr>
      <w:pStyle w:val="Cabealho"/>
    </w:pPr>
    <w:r>
      <w:rPr>
        <w:noProof/>
        <w:lang w:eastAsia="pt-BR"/>
      </w:rPr>
      <w:drawing>
        <wp:inline distT="0" distB="10795" distL="0" distR="1270">
          <wp:extent cx="5904230" cy="884555"/>
          <wp:effectExtent l="0" t="0" r="0" b="0"/>
          <wp:docPr id="2" name="Imagem 2" descr="Descrição: 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crição: Papel Timbrado UniRv 20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D1797"/>
    <w:multiLevelType w:val="multilevel"/>
    <w:tmpl w:val="71E00B5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A6CE0"/>
    <w:multiLevelType w:val="multilevel"/>
    <w:tmpl w:val="13DC21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F055DC"/>
    <w:multiLevelType w:val="multilevel"/>
    <w:tmpl w:val="4E0812EC"/>
    <w:lvl w:ilvl="0">
      <w:start w:val="2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4"/>
      </w:rPr>
    </w:lvl>
  </w:abstractNum>
  <w:abstractNum w:abstractNumId="3" w15:restartNumberingAfterBreak="0">
    <w:nsid w:val="755F1D9B"/>
    <w:multiLevelType w:val="multilevel"/>
    <w:tmpl w:val="F1DAE730"/>
    <w:lvl w:ilvl="0">
      <w:start w:val="1"/>
      <w:numFmt w:val="decimal"/>
      <w:lvlText w:val="%1"/>
      <w:lvlJc w:val="left"/>
      <w:pPr>
        <w:ind w:left="1140" w:hanging="1140"/>
      </w:pPr>
    </w:lvl>
    <w:lvl w:ilvl="1">
      <w:start w:val="1"/>
      <w:numFmt w:val="decimal"/>
      <w:lvlText w:val="%1.%2"/>
      <w:lvlJc w:val="left"/>
      <w:pPr>
        <w:ind w:left="1849" w:hanging="1140"/>
      </w:pPr>
    </w:lvl>
    <w:lvl w:ilvl="2">
      <w:start w:val="1"/>
      <w:numFmt w:val="decimal"/>
      <w:lvlText w:val="%1.%2.%3"/>
      <w:lvlJc w:val="left"/>
      <w:pPr>
        <w:ind w:left="2558" w:hanging="1140"/>
      </w:pPr>
    </w:lvl>
    <w:lvl w:ilvl="3">
      <w:start w:val="1"/>
      <w:numFmt w:val="decimal"/>
      <w:lvlText w:val="%1.%2.%3.%4"/>
      <w:lvlJc w:val="left"/>
      <w:pPr>
        <w:ind w:left="3267" w:hanging="1140"/>
      </w:pPr>
    </w:lvl>
    <w:lvl w:ilvl="4">
      <w:start w:val="1"/>
      <w:numFmt w:val="decimal"/>
      <w:lvlText w:val="%1.%2.%3.%4.%5"/>
      <w:lvlJc w:val="left"/>
      <w:pPr>
        <w:ind w:left="3976" w:hanging="1140"/>
      </w:pPr>
    </w:lvl>
    <w:lvl w:ilvl="5">
      <w:start w:val="1"/>
      <w:numFmt w:val="decimal"/>
      <w:lvlText w:val="%1.%2.%3.%4.%5.%6"/>
      <w:lvlJc w:val="left"/>
      <w:pPr>
        <w:ind w:left="4685" w:hanging="11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B3"/>
    <w:rsid w:val="00256771"/>
    <w:rsid w:val="003F0BCF"/>
    <w:rsid w:val="00620438"/>
    <w:rsid w:val="00A749E8"/>
    <w:rsid w:val="00AC5EB3"/>
    <w:rsid w:val="00BB2E89"/>
    <w:rsid w:val="00E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1BBA8-85A8-4412-B295-CD9AF94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unhideWhenUsed/>
    <w:qFormat/>
    <w:rPr>
      <w:color w:val="954F72" w:themeColor="followedHyperlink"/>
      <w:u w:val="single"/>
    </w:rPr>
  </w:style>
  <w:style w:type="character" w:customStyle="1" w:styleId="LinkdaInternet">
    <w:name w:val="Link da Internet"/>
    <w:semiHidden/>
    <w:qFormat/>
    <w:rPr>
      <w:rFonts w:cs="Times New Roman"/>
      <w:color w:val="0000FF"/>
      <w:u w:val="single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</w:rPr>
  </w:style>
  <w:style w:type="character" w:customStyle="1" w:styleId="UnresolvedMention">
    <w:name w:val="Unresolved Mention"/>
    <w:basedOn w:val="Fontepargpadro"/>
    <w:uiPriority w:val="99"/>
    <w:unhideWhenUsed/>
    <w:qFormat/>
    <w:rPr>
      <w:color w:val="808080"/>
      <w:shd w:val="clear" w:color="auto" w:fill="E6E6E6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Lista">
    <w:name w:val="List"/>
    <w:basedOn w:val="Corpodetexto"/>
    <w:qFormat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0438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rsid w:val="00BB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xt@unirv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2904</Words>
  <Characters>15683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UniRV</dc:creator>
  <dc:description/>
  <cp:lastModifiedBy>UniRV</cp:lastModifiedBy>
  <cp:revision>2</cp:revision>
  <cp:lastPrinted>2018-04-10T11:07:00Z</cp:lastPrinted>
  <dcterms:created xsi:type="dcterms:W3CDTF">2018-04-23T22:09:00Z</dcterms:created>
  <dcterms:modified xsi:type="dcterms:W3CDTF">2018-04-23T22:09:00Z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1046-10.2.0.5965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